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Opere e Lavori pubblici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sovrintende a tutte le opere pubbliche realizzate dall'amministrazione, mediante progettazione e direzione dei lavori (interna o affidata a professionisti esterni), coordinazione e collaudo finale, con l'esercizio di funzioni che comprendono l'edilizia scolastica, cimitero, trasporti e mobilita', viabilita', elettrodotti e fognature, eliminazione delle barriere architettoniche, nonche' la programmazione ed il coordinamento delle Opere Pubbliche.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Ing. Mameli Stefania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triennale opere pubbliche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Variazioni al Programma triennale e all'elenco annuale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lavori di importo pari o superiore a 40.000 euro e inferiore a 150.000 euro mediante il sistema della procedura negoziata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lavori di importo pari o superiore a 1.000.000 di euro mediante il sistema della procedura aperta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lavori di importo pari o superiore a 150.000 euro e inferiore a 1.000.000 di euro mediante il sistema della procedura negoziata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Progettazione interna (preliminare, definitiva, esecutiva)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Perizie di lavori in economia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progettazione a professionisti esterni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direzione lavori in appalto a professionisti esterni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Direzione lavori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Liquidazioni acconti o rata di saldo e omologa del certificato di regolare esecuzione per contratti pubblici di lavori, servizi e forniture in economia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Varianti in corso d'opera lavori in appalto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Collaudo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Partecipazione a commissioni di collaudo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incarico esterno di coordinatore della sicurezza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Coordinatore della sicurezza in fase di progettazione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Subappalto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Redazione cronoprogramma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Autorizzazione/concessione installazione mezzi pubblicitari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Predisposizione piani di approvvigionamento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passo carrabile temporaneo per cantiere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Opere e Lavori pubblici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